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2C" w:rsidRPr="00306C2C" w:rsidRDefault="00306C2C" w:rsidP="00306C2C">
      <w:pPr>
        <w:rPr>
          <w:b/>
        </w:rPr>
      </w:pPr>
      <w:r w:rsidRPr="00306C2C">
        <w:rPr>
          <w:b/>
        </w:rPr>
        <w:t>CHEMIA – ZAGADNIENIA na egzaminy z różnic programowych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Skały i minerały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Przeróbka wapieni, gipsu i kwarcu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Właściwości gleby i jej ochrona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Rodzaje paliw kopalnych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>Przeróbka ropy naftowej i węgla kamiennego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Benzyna – właściwości i otrzymywanie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Sposoby pozyskiwania energii a środowisko przyrodnicze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Właściwości mydeł i ich otrzymywanie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Mechanizm usuwania brudu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Emulsje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Składniki kosmetyków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Rodzaje środków czystości </w:t>
      </w:r>
    </w:p>
    <w:p w:rsidR="00475D74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Środki czystości a </w:t>
      </w:r>
      <w:bookmarkStart w:id="0" w:name="_GoBack"/>
      <w:bookmarkEnd w:id="0"/>
      <w:r w:rsidRPr="00306C2C">
        <w:t>środowisko przyrodnicze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Wpływ składników żywności na organizm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Fermentacja i inne przemiany żywności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Metody konserwacji żywności.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Dodatki do żywności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Rodzaje substancji leczniczych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Dawka lecznicza i dawka toksyczna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Substancje uzależniające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 xml:space="preserve">Rodzaje tworzyw sztucznych 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>Rodzaje opakowań</w:t>
      </w:r>
    </w:p>
    <w:p w:rsidR="00306C2C" w:rsidRDefault="00306C2C" w:rsidP="00306C2C">
      <w:pPr>
        <w:pStyle w:val="Akapitzlist"/>
        <w:numPr>
          <w:ilvl w:val="0"/>
          <w:numId w:val="1"/>
        </w:numPr>
      </w:pPr>
      <w:r w:rsidRPr="00306C2C">
        <w:t>Włókna naturalne, sztuczne i syntetyczne</w:t>
      </w:r>
    </w:p>
    <w:sectPr w:rsidR="0030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924"/>
    <w:multiLevelType w:val="hybridMultilevel"/>
    <w:tmpl w:val="7AF47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2C"/>
    <w:rsid w:val="00306C2C"/>
    <w:rsid w:val="004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juytop</dc:creator>
  <cp:lastModifiedBy>juytop</cp:lastModifiedBy>
  <cp:revision>1</cp:revision>
  <dcterms:created xsi:type="dcterms:W3CDTF">2018-10-17T11:07:00Z</dcterms:created>
  <dcterms:modified xsi:type="dcterms:W3CDTF">2018-10-17T11:10:00Z</dcterms:modified>
</cp:coreProperties>
</file>